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6695" w14:textId="77777777" w:rsidR="00EC24BA" w:rsidRDefault="00000000">
      <w:pPr>
        <w:pStyle w:val="TitleCustom"/>
      </w:pPr>
      <w:r>
        <w:t>Protocol — Gestionarea anticoagulantelor și a aspirinei pentru intervenții ORL minim invazive (office-based)</w:t>
      </w:r>
    </w:p>
    <w:p w14:paraId="373C3647" w14:textId="77777777" w:rsidR="00EC24BA" w:rsidRDefault="00000000">
      <w:pPr>
        <w:pStyle w:val="BodyCustom"/>
        <w:jc w:val="center"/>
      </w:pPr>
      <w:r>
        <w:t>Autor: Dr. Daniela Ionescu &amp; Echipa | Versiune: 20 aug 2025</w:t>
      </w:r>
    </w:p>
    <w:p w14:paraId="1BFB0010" w14:textId="77777777" w:rsidR="00EC24BA" w:rsidRDefault="00EC24BA"/>
    <w:p w14:paraId="073E171E" w14:textId="77777777" w:rsidR="00EC24BA" w:rsidRDefault="00000000">
      <w:pPr>
        <w:pStyle w:val="H2Custom"/>
      </w:pPr>
      <w:r>
        <w:t>1) Scop și domeniu de aplicare</w:t>
      </w:r>
    </w:p>
    <w:p w14:paraId="7409A14D" w14:textId="7A4EDA9F" w:rsidR="00EC24BA" w:rsidRDefault="00000000">
      <w:pPr>
        <w:pStyle w:val="BodyCustom"/>
      </w:pPr>
      <w:r>
        <w:t xml:space="preserve">Management perioperator al </w:t>
      </w:r>
      <w:proofErr w:type="spellStart"/>
      <w:r>
        <w:t>anticoagulantelor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antiagregantelor</w:t>
      </w:r>
      <w:proofErr w:type="spellEnd"/>
      <w:r>
        <w:t xml:space="preserve"> (</w:t>
      </w:r>
      <w:proofErr w:type="spellStart"/>
      <w:r>
        <w:t>aspirină</w:t>
      </w:r>
      <w:proofErr w:type="spellEnd"/>
      <w:r w:rsidR="0017014B">
        <w:t>)</w:t>
      </w:r>
      <w:r>
        <w:t xml:space="preserve"> la </w:t>
      </w:r>
      <w:proofErr w:type="spellStart"/>
      <w:r>
        <w:t>pacienții</w:t>
      </w:r>
      <w:proofErr w:type="spellEnd"/>
      <w:r>
        <w:t xml:space="preserve"> </w:t>
      </w:r>
      <w:proofErr w:type="spellStart"/>
      <w:r>
        <w:t>programați</w:t>
      </w:r>
      <w:proofErr w:type="spellEnd"/>
      <w:r>
        <w:t xml:space="preserve"> pentru intervenții ORL minim invazive în ambulator (turbinoreducție RF/laser, radiofrecvență palatină etc.). Decizie interdisciplinară, cu avizul cardiologului/medicului curant.</w:t>
      </w:r>
    </w:p>
    <w:p w14:paraId="307E0B26" w14:textId="77777777" w:rsidR="00EC24BA" w:rsidRDefault="00000000">
      <w:pPr>
        <w:pStyle w:val="BodyCustom"/>
      </w:pPr>
      <w:r>
        <w:t>Procedurile sunt în general risc hemoragic scăzut; la gesturi extinse ori comorbidități pot deveni risc moderat.</w:t>
      </w:r>
    </w:p>
    <w:p w14:paraId="6E7E742A" w14:textId="77777777" w:rsidR="00EC24BA" w:rsidRDefault="00000000">
      <w:pPr>
        <w:pStyle w:val="H2Custom"/>
      </w:pPr>
      <w:r>
        <w:t>2) Principii-cheie</w:t>
      </w:r>
    </w:p>
    <w:p w14:paraId="043B546A" w14:textId="77777777" w:rsidR="00EC24BA" w:rsidRDefault="00000000">
      <w:pPr>
        <w:pStyle w:val="Listcumarcatori"/>
      </w:pPr>
      <w:r>
        <w:t>Echilibru între risc trombotic și risc hemoragic; decizie ORL–Cardiologie–Medicină internă.</w:t>
      </w:r>
    </w:p>
    <w:p w14:paraId="73222239" w14:textId="77777777" w:rsidR="00EC24BA" w:rsidRDefault="00000000">
      <w:pPr>
        <w:pStyle w:val="Listcumarcatori"/>
      </w:pPr>
      <w:r>
        <w:t>Pentru risc scăzut, multe ghiduri permit pauze scurte ale DOAC (~24 h) și continuarea aspirinei în doză mică când riscul cardiac o impune.</w:t>
      </w:r>
    </w:p>
    <w:p w14:paraId="7F87DBFD" w14:textId="46D1352D" w:rsidR="00EC24BA" w:rsidRDefault="00EC24BA" w:rsidP="00904B93">
      <w:pPr>
        <w:pStyle w:val="Listcumarcatori"/>
        <w:numPr>
          <w:ilvl w:val="0"/>
          <w:numId w:val="0"/>
        </w:numPr>
        <w:ind w:left="360"/>
      </w:pPr>
    </w:p>
    <w:p w14:paraId="1A0F7FB5" w14:textId="77777777" w:rsidR="00EC24BA" w:rsidRDefault="00000000">
      <w:pPr>
        <w:pStyle w:val="Listcumarcatori"/>
      </w:pPr>
      <w:r>
        <w:t>Reluarea se face după hemostază stabilă (adesea la ~24 h pentru risc scăzut).</w:t>
      </w:r>
    </w:p>
    <w:p w14:paraId="5FA313E6" w14:textId="77777777" w:rsidR="00EC24BA" w:rsidRDefault="00000000">
      <w:pPr>
        <w:pStyle w:val="H2Custom"/>
      </w:pPr>
      <w:r>
        <w:t>3) Stratificarea riscurilor</w:t>
      </w:r>
    </w:p>
    <w:p w14:paraId="0E3F53E5" w14:textId="77777777" w:rsidR="00EC24BA" w:rsidRDefault="00000000">
      <w:pPr>
        <w:pStyle w:val="H3Custom"/>
      </w:pPr>
      <w:r>
        <w:t>3.1 Risc de sângerare al procedurii</w:t>
      </w:r>
    </w:p>
    <w:p w14:paraId="2E823CE7" w14:textId="6E116B95" w:rsidR="00EC24BA" w:rsidRDefault="00000000">
      <w:pPr>
        <w:pStyle w:val="Listcumarcatori"/>
      </w:pPr>
      <w:r>
        <w:t xml:space="preserve">Scăzut: turbinoreducție RF/laser, RFA </w:t>
      </w:r>
      <w:proofErr w:type="spellStart"/>
      <w:r>
        <w:t>palatină</w:t>
      </w:r>
      <w:proofErr w:type="spellEnd"/>
      <w:r>
        <w:t xml:space="preserve">,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 office-</w:t>
      </w:r>
      <w:proofErr w:type="spellStart"/>
      <w:r>
        <w:t>bas</w:t>
      </w:r>
      <w:r w:rsidR="003C4A22">
        <w:t>Reluareatampobament</w:t>
      </w:r>
      <w:proofErr w:type="spellEnd"/>
    </w:p>
    <w:p w14:paraId="5567330C" w14:textId="6F4C15D5" w:rsidR="00EC24BA" w:rsidRDefault="00000000">
      <w:pPr>
        <w:pStyle w:val="Listcumarcatori"/>
      </w:pPr>
      <w:proofErr w:type="spellStart"/>
      <w:r>
        <w:t>Moderat</w:t>
      </w:r>
      <w:proofErr w:type="spellEnd"/>
      <w:r>
        <w:t>/</w:t>
      </w:r>
      <w:proofErr w:type="spellStart"/>
      <w:r>
        <w:t>mai</w:t>
      </w:r>
      <w:proofErr w:type="spellEnd"/>
      <w:r>
        <w:t xml:space="preserve"> m</w:t>
      </w:r>
      <w:r w:rsidR="007A5BC8">
        <w:t xml:space="preserve">are : </w:t>
      </w:r>
      <w:proofErr w:type="spellStart"/>
      <w:r>
        <w:t>asociere</w:t>
      </w:r>
      <w:proofErr w:type="spellEnd"/>
      <w:r>
        <w:t xml:space="preserve"> cu </w:t>
      </w:r>
      <w:proofErr w:type="spellStart"/>
      <w:r>
        <w:t>septoplastie</w:t>
      </w:r>
      <w:proofErr w:type="spellEnd"/>
      <w:r>
        <w:t>/</w:t>
      </w:r>
      <w:proofErr w:type="spellStart"/>
      <w:r>
        <w:t>rinoseptoplastie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, HTA </w:t>
      </w:r>
      <w:proofErr w:type="spellStart"/>
      <w:r>
        <w:t>necontrolată</w:t>
      </w:r>
      <w:proofErr w:type="spellEnd"/>
      <w:r>
        <w:t>, istoric de epistaxis major.</w:t>
      </w:r>
    </w:p>
    <w:p w14:paraId="731E37FC" w14:textId="77777777" w:rsidR="00EC24BA" w:rsidRDefault="00000000">
      <w:pPr>
        <w:pStyle w:val="H3Custom"/>
      </w:pPr>
      <w:r>
        <w:t>3.2 Risc trombotic (exemple)</w:t>
      </w:r>
    </w:p>
    <w:p w14:paraId="6956BC93" w14:textId="64731504" w:rsidR="00EC24BA" w:rsidRDefault="00000000">
      <w:pPr>
        <w:pStyle w:val="Listcumarcatori"/>
      </w:pPr>
      <w:r>
        <w:t xml:space="preserve">Înalt: valvă mecanică mitrală; AVC/AIT &lt;3 luni; TVP/EP &lt;3 </w:t>
      </w:r>
      <w:proofErr w:type="spellStart"/>
      <w:r>
        <w:t>luni</w:t>
      </w:r>
      <w:proofErr w:type="spellEnd"/>
      <w:r>
        <w:t xml:space="preserve">; stent </w:t>
      </w:r>
      <w:proofErr w:type="spellStart"/>
      <w:r>
        <w:t>coronarian</w:t>
      </w:r>
      <w:proofErr w:type="spellEnd"/>
      <w:r w:rsidR="003C4A22">
        <w:t xml:space="preserve"> </w:t>
      </w:r>
      <w:proofErr w:type="spellStart"/>
      <w:r w:rsidR="003C4A22">
        <w:t>operat</w:t>
      </w:r>
      <w:proofErr w:type="spellEnd"/>
      <w:r>
        <w:t xml:space="preserve"> recent</w:t>
      </w:r>
      <w:r w:rsidR="003C4A22">
        <w:t xml:space="preserve">; se </w:t>
      </w:r>
      <w:proofErr w:type="spellStart"/>
      <w:r w:rsidR="003C4A22">
        <w:t>recomanda</w:t>
      </w:r>
      <w:proofErr w:type="spellEnd"/>
      <w:r w:rsidR="003C4A22">
        <w:t xml:space="preserve"> </w:t>
      </w:r>
      <w:proofErr w:type="spellStart"/>
      <w:r w:rsidR="003C4A22">
        <w:t>avizul</w:t>
      </w:r>
      <w:proofErr w:type="spellEnd"/>
      <w:r w:rsidR="003C4A22">
        <w:t xml:space="preserve"> </w:t>
      </w:r>
      <w:proofErr w:type="spellStart"/>
      <w:r w:rsidR="003C4A22">
        <w:t>cardiolog</w:t>
      </w:r>
      <w:proofErr w:type="spellEnd"/>
    </w:p>
    <w:p w14:paraId="3F8D412C" w14:textId="4AB13B6D" w:rsidR="00EC24BA" w:rsidRDefault="00000000">
      <w:pPr>
        <w:pStyle w:val="Listcumarcatori"/>
      </w:pPr>
      <w:r>
        <w:t>Intermediar: FA non-valvulară fără evenimente recente;  boală coronariană stabilă.</w:t>
      </w:r>
    </w:p>
    <w:p w14:paraId="290A12CC" w14:textId="77777777" w:rsidR="00EC24BA" w:rsidRDefault="00000000">
      <w:pPr>
        <w:pStyle w:val="Listcumarcatori"/>
      </w:pPr>
      <w:r>
        <w:t>Scăzut: profilaxie sau fără factori majori.</w:t>
      </w:r>
    </w:p>
    <w:p w14:paraId="027FDF79" w14:textId="77777777" w:rsidR="00EC24BA" w:rsidRDefault="00000000">
      <w:pPr>
        <w:pStyle w:val="H2Custom"/>
      </w:pPr>
      <w:r>
        <w:t>4) Recomandări pe clase de medicamente</w:t>
      </w:r>
    </w:p>
    <w:p w14:paraId="7EACE3BE" w14:textId="77777777" w:rsidR="00EC24BA" w:rsidRDefault="00000000">
      <w:pPr>
        <w:pStyle w:val="H3Custom"/>
      </w:pPr>
      <w:r>
        <w:lastRenderedPageBreak/>
        <w:t>4.1 DOAC (apixaban, rivaroxaban, edoxaban, dabigatran)</w:t>
      </w:r>
    </w:p>
    <w:p w14:paraId="49A9F878" w14:textId="77777777" w:rsidR="00EC24BA" w:rsidRDefault="00000000">
      <w:pPr>
        <w:pStyle w:val="BodyCustom"/>
      </w:pPr>
      <w:r>
        <w:t>Practică a echipei (conform ghidurilor): oprire cu 1–2 zile înainte pentru risc scăzut, cu aviz cardiologic; intervalul depinde de funcția renală și tipul procedurii.</w:t>
      </w:r>
    </w:p>
    <w:p w14:paraId="18ADFB86" w14:textId="77777777" w:rsidR="00EC24BA" w:rsidRDefault="00000000">
      <w:pPr>
        <w:pStyle w:val="Listcumarcatori"/>
      </w:pPr>
      <w:r>
        <w:t>Risc scăzut + funcție renală normală: pauză ~24 h (omiteți doza din ziua anterioară).</w:t>
      </w:r>
    </w:p>
    <w:p w14:paraId="6596F4AE" w14:textId="77777777" w:rsidR="00EC24BA" w:rsidRDefault="00000000">
      <w:pPr>
        <w:pStyle w:val="Listcumarcatori"/>
      </w:pPr>
      <w:r>
        <w:t>Dabigatran cu ClCr &lt;50 mL/min sau risc procedural mai mare: pauză 48 h.</w:t>
      </w:r>
    </w:p>
    <w:p w14:paraId="6B35AF78" w14:textId="77777777" w:rsidR="00EC24BA" w:rsidRDefault="00000000">
      <w:pPr>
        <w:pStyle w:val="Listcumarcatori"/>
      </w:pPr>
      <w:r>
        <w:t>Reluare: ~24 h postprocedural dacă hemostaza e stabilă (48–72 h la risc hemoragic crescut).</w:t>
      </w:r>
    </w:p>
    <w:p w14:paraId="05997CE4" w14:textId="1F310B19" w:rsidR="00EC24BA" w:rsidRDefault="00EC24BA">
      <w:pPr>
        <w:pStyle w:val="BodyCustom"/>
      </w:pPr>
    </w:p>
    <w:p w14:paraId="6C58F8B0" w14:textId="77777777" w:rsidR="00EC24BA" w:rsidRDefault="00000000">
      <w:pPr>
        <w:pStyle w:val="H3Custom"/>
      </w:pPr>
      <w:r>
        <w:t>4.2 VKA (warfarină)</w:t>
      </w:r>
    </w:p>
    <w:p w14:paraId="2C496B2E" w14:textId="77777777" w:rsidR="00EC24BA" w:rsidRDefault="00000000">
      <w:pPr>
        <w:pStyle w:val="Listcumarcatori"/>
      </w:pPr>
      <w:r>
        <w:t>Oprire cu 5 zile înainte; țintă INR &lt;1,5 în ziua procedurii (dacă se decide oprirea).</w:t>
      </w:r>
    </w:p>
    <w:p w14:paraId="17A18520" w14:textId="77777777" w:rsidR="00EC24BA" w:rsidRDefault="00000000">
      <w:pPr>
        <w:pStyle w:val="Listcumarcatori"/>
      </w:pPr>
      <w:r>
        <w:t>Bridging DOAR la risc trombotic înalt (valve mecanice, tromboză recentă), conform deciziei cardiologului/hematologului.</w:t>
      </w:r>
    </w:p>
    <w:p w14:paraId="2A7CE60E" w14:textId="77777777" w:rsidR="00EC24BA" w:rsidRDefault="00000000">
      <w:pPr>
        <w:pStyle w:val="Listcumarcatori"/>
      </w:pPr>
      <w:r>
        <w:t>Reluare: seara intervenției sau în primele 24 h dacă hemostaza e stabilă (fără neuraxial).</w:t>
      </w:r>
    </w:p>
    <w:p w14:paraId="1492813A" w14:textId="77777777" w:rsidR="00EC24BA" w:rsidRDefault="00000000">
      <w:pPr>
        <w:pStyle w:val="H3Custom"/>
      </w:pPr>
      <w:r>
        <w:t>4.3 Aspirină (≤100 mg/zi)</w:t>
      </w:r>
    </w:p>
    <w:p w14:paraId="53745540" w14:textId="5AE36114" w:rsidR="00EC24BA" w:rsidRDefault="00000000">
      <w:pPr>
        <w:pStyle w:val="Listcumarcatori"/>
      </w:pPr>
      <w:r>
        <w:t xml:space="preserve">De regulă se CONTINUĂ la proceduri cu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scăzut</w:t>
      </w:r>
      <w:proofErr w:type="spellEnd"/>
      <w:r w:rsidR="005F4945">
        <w:t xml:space="preserve"> minim </w:t>
      </w:r>
      <w:proofErr w:type="spellStart"/>
      <w:r w:rsidR="005F4945">
        <w:t>invazive</w:t>
      </w:r>
      <w:proofErr w:type="spellEnd"/>
      <w:r w:rsidR="005F4945">
        <w:t>,</w:t>
      </w:r>
      <w:r>
        <w:t xml:space="preserve"> </w:t>
      </w:r>
      <w:proofErr w:type="spellStart"/>
      <w:r>
        <w:t>mai</w:t>
      </w:r>
      <w:proofErr w:type="spellEnd"/>
      <w:r>
        <w:t xml:space="preserve"> ales la boală coronariană/stent.</w:t>
      </w:r>
    </w:p>
    <w:p w14:paraId="30F76785" w14:textId="77777777" w:rsidR="00EC24BA" w:rsidRDefault="00000000">
      <w:pPr>
        <w:pStyle w:val="Listcumarcatori"/>
      </w:pPr>
      <w:r>
        <w:t>Dacă se oprește (cazuri selectate cu risc cardiac mic), oprire 3–5 zile înainte; reluare la 24 h după hemostază.</w:t>
      </w:r>
    </w:p>
    <w:p w14:paraId="1E4B290B" w14:textId="77777777" w:rsidR="00EC24BA" w:rsidRDefault="00000000">
      <w:pPr>
        <w:pStyle w:val="H3Custom"/>
      </w:pPr>
      <w:r>
        <w:t>4.4 P2Y12 (clopidogrel, prasugrel, ticagrelor)</w:t>
      </w:r>
    </w:p>
    <w:p w14:paraId="447248AA" w14:textId="77777777" w:rsidR="00EC24BA" w:rsidRDefault="00000000">
      <w:pPr>
        <w:pStyle w:val="Listcumarcatori"/>
      </w:pPr>
      <w:r>
        <w:t>Evitați întreruperea DAPT în primele 3 luni după stent (discutați orice întrerupere până la 6–12 luni cu cardiologul).</w:t>
      </w:r>
    </w:p>
    <w:p w14:paraId="6F5A680A" w14:textId="77777777" w:rsidR="00EC24BA" w:rsidRDefault="00000000">
      <w:pPr>
        <w:pStyle w:val="Listcumarcatori"/>
      </w:pPr>
      <w:r>
        <w:t>Dacă întreruperea e acceptată: clopidogrel — 5 zile; prasugrel — 7 zile; ticagrelor — 3–5 zile.</w:t>
      </w:r>
    </w:p>
    <w:p w14:paraId="7A563001" w14:textId="77777777" w:rsidR="00EC24BA" w:rsidRDefault="00000000">
      <w:pPr>
        <w:pStyle w:val="Listcumarcatori"/>
      </w:pPr>
      <w:r>
        <w:t>Reluare: la ~24 h dacă nu există sângerare.</w:t>
      </w:r>
    </w:p>
    <w:p w14:paraId="577C979D" w14:textId="77777777" w:rsidR="00EC24BA" w:rsidRDefault="00000000">
      <w:pPr>
        <w:pStyle w:val="H2Custom"/>
      </w:pPr>
      <w:r>
        <w:t>5) Cronologie orientativă</w:t>
      </w:r>
    </w:p>
    <w:p w14:paraId="61D1489C" w14:textId="77777777" w:rsidR="00EC24BA" w:rsidRDefault="00000000">
      <w:pPr>
        <w:pStyle w:val="Listnumerotat"/>
      </w:pPr>
      <w:r>
        <w:t>T-7…-3 zile: evitați AINS și suplimente cu risc hemoragic.</w:t>
      </w:r>
    </w:p>
    <w:p w14:paraId="34DB7C10" w14:textId="77777777" w:rsidR="00EC24BA" w:rsidRDefault="00000000">
      <w:pPr>
        <w:pStyle w:val="Listnumerotat"/>
      </w:pPr>
      <w:r>
        <w:t>T-2…-1 zi: întrerupeți DOAC conform recomandărilor (24 h uzual; 48 h pentru dabigatran cu ClCr &lt;50 mL/min).</w:t>
      </w:r>
    </w:p>
    <w:p w14:paraId="63334129" w14:textId="77777777" w:rsidR="00EC24BA" w:rsidRDefault="00000000">
      <w:pPr>
        <w:pStyle w:val="Listnumerotat"/>
      </w:pPr>
      <w:r>
        <w:t>T-5 zile: opriți warfarina (dacă se întrerupe); verificați INR (țintă &lt;1,5).</w:t>
      </w:r>
    </w:p>
    <w:p w14:paraId="4057A972" w14:textId="77777777" w:rsidR="00EC24BA" w:rsidRDefault="00000000">
      <w:pPr>
        <w:pStyle w:val="Listnumerotat"/>
      </w:pPr>
      <w:r>
        <w:t>T-5 / T-7 / T-3…5 zile: opriți clopidogrel/prasugrel/ticagrelor conform §4.4 (doar cu aviz cardiologic).</w:t>
      </w:r>
    </w:p>
    <w:p w14:paraId="7E0C554C" w14:textId="77777777" w:rsidR="00EC24BA" w:rsidRDefault="00000000">
      <w:pPr>
        <w:pStyle w:val="Listnumerotat"/>
      </w:pPr>
      <w:r>
        <w:t>Ziua 0: procedură; externare cu instrucțiuni scrise.</w:t>
      </w:r>
    </w:p>
    <w:p w14:paraId="3A31517A" w14:textId="77777777" w:rsidR="00EC24BA" w:rsidRDefault="00000000">
      <w:pPr>
        <w:pStyle w:val="Listnumerotat"/>
      </w:pPr>
      <w:r>
        <w:t>T+1 zi: reluați DOAC/aspirină dacă hemostaza e stabilă; reluați warfarina în 0–24 h.</w:t>
      </w:r>
    </w:p>
    <w:p w14:paraId="110F7B62" w14:textId="77777777" w:rsidR="00EC24BA" w:rsidRDefault="00000000">
      <w:pPr>
        <w:pStyle w:val="H2Custom"/>
      </w:pPr>
      <w:r>
        <w:lastRenderedPageBreak/>
        <w:t>6) Algoritm decizional (text)</w:t>
      </w:r>
    </w:p>
    <w:p w14:paraId="19FD0BB6" w14:textId="77777777" w:rsidR="00EC24BA" w:rsidRDefault="00000000">
      <w:pPr>
        <w:pStyle w:val="Listcumarcatori"/>
      </w:pPr>
      <w:r>
        <w:t>1) Evaluați riscul hemoragic al procedurii (scăzut vs. moderat).</w:t>
      </w:r>
    </w:p>
    <w:p w14:paraId="1BB705EF" w14:textId="77777777" w:rsidR="00EC24BA" w:rsidRDefault="00000000">
      <w:pPr>
        <w:pStyle w:val="Listcumarcatori"/>
      </w:pPr>
      <w:r>
        <w:t>2) Evaluați riscul trombotic și statutul stenturilor.</w:t>
      </w:r>
    </w:p>
    <w:p w14:paraId="576B59DF" w14:textId="77777777" w:rsidR="00EC24BA" w:rsidRDefault="00000000">
      <w:pPr>
        <w:pStyle w:val="Listcumarcatori"/>
      </w:pPr>
      <w:r>
        <w:t>3) Stabiliți planul: DOAC pauză 24–48 h; VKA pauză 5 zile (INR &lt;1,5); Aspirina de regulă se continuă; P2Y12 după aviz cardiologic.</w:t>
      </w:r>
    </w:p>
    <w:p w14:paraId="4C6394C1" w14:textId="77777777" w:rsidR="00EC24BA" w:rsidRDefault="00000000">
      <w:pPr>
        <w:pStyle w:val="Listcumarcatori"/>
      </w:pPr>
      <w:r>
        <w:t>4) Reluare medicații după hemostază stabilă (de regulă 24 h).</w:t>
      </w:r>
    </w:p>
    <w:p w14:paraId="234E9AAA" w14:textId="77777777" w:rsidR="00EC24BA" w:rsidRDefault="00000000">
      <w:pPr>
        <w:pStyle w:val="Listcumarcatori"/>
      </w:pPr>
      <w:r>
        <w:t>5) Documentați și oferiți instrucțiuni scrise pacientului.</w:t>
      </w:r>
    </w:p>
    <w:p w14:paraId="19902A7A" w14:textId="77777777" w:rsidR="00EC24BA" w:rsidRDefault="00000000">
      <w:pPr>
        <w:pStyle w:val="H2Custom"/>
      </w:pPr>
      <w:r>
        <w:t>7) Documentare și comunicare</w:t>
      </w:r>
    </w:p>
    <w:p w14:paraId="4ABA3F12" w14:textId="77777777" w:rsidR="00EC24BA" w:rsidRDefault="00000000">
      <w:pPr>
        <w:pStyle w:val="Listcumarcatori"/>
      </w:pPr>
      <w:r>
        <w:t>Planul de oprire/relansare, avizul cardiologului, testele (INR, funcție renală) — consemnate în foaie.</w:t>
      </w:r>
    </w:p>
    <w:p w14:paraId="66126A95" w14:textId="77777777" w:rsidR="00EC24BA" w:rsidRDefault="00000000">
      <w:pPr>
        <w:pStyle w:val="Listcumarcatori"/>
      </w:pPr>
      <w:r>
        <w:t>Instrucțiuni scrise pentru pacient: semne de alarmă, interdicția AINS 7 zile, conduita la sângerare.</w:t>
      </w:r>
    </w:p>
    <w:p w14:paraId="6B8FB62F" w14:textId="77777777" w:rsidR="00EC24BA" w:rsidRDefault="00000000">
      <w:pPr>
        <w:pStyle w:val="Listcumarcatori"/>
      </w:pPr>
      <w:r>
        <w:t>Număr de contact 24/7; follow-up la 24–48 h.</w:t>
      </w:r>
    </w:p>
    <w:p w14:paraId="034D2409" w14:textId="77777777" w:rsidR="00EC24BA" w:rsidRDefault="00000000">
      <w:pPr>
        <w:pStyle w:val="H2Custom"/>
      </w:pPr>
      <w:r>
        <w:t>8) Instrucțiuni-cheie pentru pacient</w:t>
      </w:r>
    </w:p>
    <w:p w14:paraId="416C2398" w14:textId="77777777" w:rsidR="00EC24BA" w:rsidRDefault="00000000">
      <w:pPr>
        <w:pStyle w:val="Listcumarcatori"/>
      </w:pPr>
      <w:r>
        <w:t>Respectați exact datele/orarele de oprire/relansare.</w:t>
      </w:r>
    </w:p>
    <w:p w14:paraId="6C9E4C25" w14:textId="77777777" w:rsidR="00EC24BA" w:rsidRDefault="00000000">
      <w:pPr>
        <w:pStyle w:val="Listcumarcatori"/>
      </w:pPr>
      <w:r>
        <w:t>Evitați ibuprofen/naproxen; utilizați paracetamol.</w:t>
      </w:r>
    </w:p>
    <w:p w14:paraId="0FDC14B1" w14:textId="77777777" w:rsidR="00EC24BA" w:rsidRDefault="00000000">
      <w:pPr>
        <w:pStyle w:val="Listcumarcatori"/>
      </w:pPr>
      <w:r>
        <w:t>Dacă apare sângerare persistentă, solicitați ajutor medical și anunțați echipa.</w:t>
      </w:r>
    </w:p>
    <w:p w14:paraId="09127756" w14:textId="77777777" w:rsidR="00EC24BA" w:rsidRDefault="00000000">
      <w:pPr>
        <w:pStyle w:val="H2Custom"/>
      </w:pPr>
      <w:r>
        <w:t>Dovezi / Bibliografie (linkuri)</w:t>
      </w:r>
    </w:p>
    <w:p w14:paraId="2478D817" w14:textId="77777777" w:rsidR="00EC24BA" w:rsidRDefault="00000000">
      <w:pPr>
        <w:pStyle w:val="BodyCustom"/>
      </w:pPr>
      <w:r>
        <w:t>• CHEST 2022 — Perioperative Management of Antithrombotic Therapy: https://journal.chestnet.org/article/S0012-3692(22)01359-9/fulltext</w:t>
      </w:r>
    </w:p>
    <w:p w14:paraId="4B06A686" w14:textId="77777777" w:rsidR="00EC24BA" w:rsidRDefault="00000000">
      <w:pPr>
        <w:pStyle w:val="BodyCustom"/>
      </w:pPr>
      <w:r>
        <w:t>• ACC 2024 — Perioperative Management of DOACs (Ten Points to Remember): https://www.acc.org/Latest-in-Cardiology/ten-points-to-remember/2024/08/15/15/36/perioperative-management-of</w:t>
      </w:r>
    </w:p>
    <w:p w14:paraId="592F370C" w14:textId="77777777" w:rsidR="00EC24BA" w:rsidRDefault="00000000">
      <w:pPr>
        <w:pStyle w:val="BodyCustom"/>
      </w:pPr>
      <w:r>
        <w:t>• Thrombosis Canada — DOACs Perioperative Guide: https://thrombosiscanada.ca/hcp/practice/clinical_guides?guideID=PERIOPERATIVEMANAGEMENTOFPATIE&amp;language=en-ca</w:t>
      </w:r>
    </w:p>
    <w:p w14:paraId="035FB56F" w14:textId="77777777" w:rsidR="00EC24BA" w:rsidRDefault="00000000">
      <w:pPr>
        <w:pStyle w:val="BodyCustom"/>
      </w:pPr>
      <w:r>
        <w:t>• Thrombosis Canada 2025 — Antiplatelet Therapy Perioperative: https://thrombosiscanada.ca/clinical_guides/pdfs/95_37.pdf</w:t>
      </w:r>
    </w:p>
    <w:p w14:paraId="09C01049" w14:textId="77777777" w:rsidR="00EC24BA" w:rsidRDefault="00000000">
      <w:pPr>
        <w:pStyle w:val="BodyCustom"/>
      </w:pPr>
      <w:r>
        <w:t>• AAFP 2023 — Practice Guidelines (summary of CHEST): https://www.aafp.org/pubs/afp/issues/2023/0800/practice-guidelines-perioperative-management-antithrombotic-medi.pdf</w:t>
      </w:r>
    </w:p>
    <w:p w14:paraId="283D7366" w14:textId="77777777" w:rsidR="00EC24BA" w:rsidRDefault="00000000">
      <w:pPr>
        <w:pStyle w:val="BodyCustom"/>
      </w:pPr>
      <w:r>
        <w:t>• UKCPA — Warfarin (Perioperative Medicines Handbook): https://periop-handbook.ukclinicalpharmacy.org/drug/warfarin/</w:t>
      </w:r>
    </w:p>
    <w:p w14:paraId="5880D058" w14:textId="77777777" w:rsidR="00EC24BA" w:rsidRDefault="00000000">
      <w:pPr>
        <w:pStyle w:val="BodyCustom"/>
      </w:pPr>
      <w:r>
        <w:lastRenderedPageBreak/>
        <w:t>• UKCPA — Clopidogrel: https://periop-handbook.ukclinicalpharmacy.org/drug/clopidogrel/</w:t>
      </w:r>
    </w:p>
    <w:p w14:paraId="60C593F6" w14:textId="77777777" w:rsidR="00EC24BA" w:rsidRDefault="00000000">
      <w:pPr>
        <w:pStyle w:val="BodyCustom"/>
      </w:pPr>
      <w:r>
        <w:t>• ESC/Eur Heart J 2023 — Aspirin in non-cardiac surgery: https://academic.oup.com/eurheartj/article/44/26/2410/7156865</w:t>
      </w:r>
    </w:p>
    <w:p w14:paraId="16CA35F6" w14:textId="77777777" w:rsidR="00EC24BA" w:rsidRDefault="00000000">
      <w:pPr>
        <w:pStyle w:val="BodyCustom"/>
      </w:pPr>
      <w:r>
        <w:t>• NSW Health 2025 — Periprocedural Anticoagulant/Antiplatelet Guideline v2.0: https://www.cec.health.nsw.gov.au/__data/assets/pdf_file/0006/458988/Guidelines-on-perioperative-management-of-anticoagulant-and-antiplatelet-agents.pdf</w:t>
      </w:r>
    </w:p>
    <w:p w14:paraId="6684DFED" w14:textId="77777777" w:rsidR="00EC24BA" w:rsidRDefault="00000000">
      <w:pPr>
        <w:pStyle w:val="H2Custom"/>
      </w:pPr>
      <w:r>
        <w:t>Declinare de responsabilitate</w:t>
      </w:r>
    </w:p>
    <w:p w14:paraId="128F84D5" w14:textId="77777777" w:rsidR="00EC24BA" w:rsidRDefault="00000000">
      <w:pPr>
        <w:pStyle w:val="BodyCustom"/>
      </w:pPr>
      <w:r>
        <w:t>Ghid orientativ; nu înlocuiește ghidurile oficiale și judecata clinică. Pentru pacienți cu stent recent, valve mecanice sau tromboză recentă, decizia se ia împreună cu cardiologul/hematologul.</w:t>
      </w:r>
    </w:p>
    <w:sectPr w:rsidR="00EC24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861216">
    <w:abstractNumId w:val="8"/>
  </w:num>
  <w:num w:numId="2" w16cid:durableId="669599080">
    <w:abstractNumId w:val="6"/>
  </w:num>
  <w:num w:numId="3" w16cid:durableId="1735657848">
    <w:abstractNumId w:val="5"/>
  </w:num>
  <w:num w:numId="4" w16cid:durableId="2125339267">
    <w:abstractNumId w:val="4"/>
  </w:num>
  <w:num w:numId="5" w16cid:durableId="1452162843">
    <w:abstractNumId w:val="7"/>
  </w:num>
  <w:num w:numId="6" w16cid:durableId="1678190390">
    <w:abstractNumId w:val="3"/>
  </w:num>
  <w:num w:numId="7" w16cid:durableId="690761904">
    <w:abstractNumId w:val="2"/>
  </w:num>
  <w:num w:numId="8" w16cid:durableId="1624073732">
    <w:abstractNumId w:val="1"/>
  </w:num>
  <w:num w:numId="9" w16cid:durableId="99090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14B"/>
    <w:rsid w:val="0029639D"/>
    <w:rsid w:val="00326F90"/>
    <w:rsid w:val="003C4A22"/>
    <w:rsid w:val="00462E92"/>
    <w:rsid w:val="005F4945"/>
    <w:rsid w:val="007A5BC8"/>
    <w:rsid w:val="008F22CE"/>
    <w:rsid w:val="00904B93"/>
    <w:rsid w:val="00AA1D8D"/>
    <w:rsid w:val="00B47730"/>
    <w:rsid w:val="00C252CC"/>
    <w:rsid w:val="00CB0664"/>
    <w:rsid w:val="00EC24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5FC62"/>
  <w14:defaultImageDpi w14:val="300"/>
  <w15:docId w15:val="{3701DDA7-799C-134C-91CA-623A1E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Calibri" w:hAnsi="Calibri"/>
      <w:b/>
      <w:sz w:val="40"/>
    </w:rPr>
  </w:style>
  <w:style w:type="paragraph" w:customStyle="1" w:styleId="H2Custom">
    <w:name w:val="H2Custom"/>
    <w:rPr>
      <w:rFonts w:ascii="Calibri" w:hAnsi="Calibri"/>
      <w:b/>
      <w:sz w:val="28"/>
    </w:rPr>
  </w:style>
  <w:style w:type="paragraph" w:customStyle="1" w:styleId="H3Custom">
    <w:name w:val="H3Custom"/>
    <w:rPr>
      <w:rFonts w:ascii="Calibri" w:hAnsi="Calibri"/>
      <w:b/>
      <w:sz w:val="24"/>
    </w:rPr>
  </w:style>
  <w:style w:type="paragraph" w:customStyle="1" w:styleId="BodyCustom">
    <w:name w:val="BodyCustom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860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Ionescu</cp:lastModifiedBy>
  <cp:revision>8</cp:revision>
  <dcterms:created xsi:type="dcterms:W3CDTF">2013-12-23T23:15:00Z</dcterms:created>
  <dcterms:modified xsi:type="dcterms:W3CDTF">2025-08-20T07:37:00Z</dcterms:modified>
  <cp:category/>
</cp:coreProperties>
</file>